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осуществляется»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27 октября 2021 года        № 1352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45" w:top="1134" w:footer="369" w:bottom="1134" w:gutter="0"/>
          <w:pgNumType w:fmt="decimal"/>
          <w:formProt w:val="false"/>
          <w:textDirection w:val="lrTb"/>
          <w:docGrid w:type="default" w:linePitch="360" w:charSpace="1638"/>
        </w:sectPr>
        <w:pStyle w:val="Normal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  <w:bookmarkStart w:id="0" w:name="_GoBack"/>
      <w:bookmarkEnd w:id="0"/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                                           №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>
          <w:trHeight w:val="58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>
          <w:trHeight w:val="56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</w:tbl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567" w:header="170" w:top="1134" w:footer="709" w:bottom="1134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LibreOffice/7.1.1.2$Windows_X86_64 LibreOffice_project/fe0b08f4af1bacafe4c7ecc87ce55bb426164676</Application>
  <AppVersion>15.0000</AppVersion>
  <DocSecurity>0</DocSecurity>
  <Pages>6</Pages>
  <Words>1387</Words>
  <Characters>10972</Characters>
  <CharactersWithSpaces>13081</CharactersWithSpaces>
  <Paragraphs>194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description/>
  <dc:language>ru-RU</dc:language>
  <cp:lastModifiedBy/>
  <cp:lastPrinted>2021-10-29T11:27:00Z</cp:lastPrinted>
  <dcterms:modified xsi:type="dcterms:W3CDTF">2022-05-23T14:20:22Z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